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40" w:after="120"/>
        <w:rPr/>
      </w:pPr>
      <w:r>
        <w:rPr>
          <w:rStyle w:val="Strong"/>
          <w:b/>
          <w:color w:val="3465A4"/>
        </w:rPr>
        <w:t>INTELLECTUAL PROPERTY LICENSE &amp; DEVELOPER AGREEMENT</w:t>
      </w:r>
    </w:p>
    <w:p>
      <w:pPr>
        <w:pStyle w:val="TextBody"/>
        <w:rPr>
          <w:u w:val="single"/>
        </w:rPr>
      </w:pPr>
      <w:r>
        <w:rPr>
          <w:rStyle w:val="Strong"/>
        </w:rPr>
        <w:t>(iMAP Stefan Tubman at Espacenet Category – 20-Year Term - Renewable)</w:t>
      </w:r>
    </w:p>
    <w:p>
      <w:pPr>
        <w:pStyle w:val="TextBody"/>
        <w:rPr>
          <w:u w:val="single"/>
        </w:rPr>
      </w:pPr>
      <w:r>
        <w:rPr>
          <w:rStyle w:val="Strong"/>
        </w:rPr>
        <w:t>Date:</w:t>
      </w:r>
      <w:r>
        <w:rPr/>
        <w:t xml:space="preserve"> [Insert Date]</w:t>
      </w:r>
    </w:p>
    <w:p>
      <w:pPr>
        <w:pStyle w:val="Heading2"/>
        <w:rPr>
          <w:u w:val="single"/>
        </w:rPr>
      </w:pPr>
      <w:r>
        <w:rPr>
          <w:rStyle w:val="Strong"/>
          <w:b/>
        </w:rPr>
        <w:t>Parties</w:t>
      </w:r>
    </w:p>
    <w:p>
      <w:pPr>
        <w:pStyle w:val="TextBody"/>
        <w:rPr>
          <w:u w:val="single"/>
        </w:rPr>
      </w:pPr>
      <w:r>
        <w:rPr>
          <w:rStyle w:val="Strong"/>
        </w:rPr>
        <w:t>Licensor:</w:t>
      </w:r>
      <w:r>
        <w:rPr/>
        <w:t xml:space="preserve"> Stefan Tubman (ShwayComs) Gothenburg, Sweden Email: stefan@shwaycoms.com</w:t>
      </w:r>
    </w:p>
    <w:p>
      <w:pPr>
        <w:pStyle w:val="TextBody"/>
        <w:rPr>
          <w:u w:val="single"/>
        </w:rPr>
      </w:pPr>
      <w:r>
        <w:rPr>
          <w:rStyle w:val="Strong"/>
        </w:rPr>
        <w:t>Licensee:</w:t>
      </w:r>
      <w:r>
        <w:rPr/>
        <w:t xml:space="preserve"> [Insert Full Legal Name and Address]</w:t>
      </w:r>
    </w:p>
    <w:p>
      <w:pPr>
        <w:pStyle w:val="Heading2"/>
        <w:rPr>
          <w:u w:val="single"/>
        </w:rPr>
      </w:pPr>
      <w:r>
        <w:rPr>
          <w:rStyle w:val="Strong"/>
          <w:b/>
        </w:rPr>
        <w:t>1. Purpose and Scope</w:t>
      </w:r>
    </w:p>
    <w:p>
      <w:pPr>
        <w:pStyle w:val="TextBody"/>
        <w:rPr>
          <w:u w:val="single"/>
        </w:rPr>
      </w:pPr>
      <w:r>
        <w:rPr/>
        <w:t xml:space="preserve">This Agreement establishes the licensing terms for the use, manufacture, and commercialization of the Licensor’s iMAP Stefan Tubman at Espacenet related intellectual property (“Licensed Technology”) within a selected global region and category for a period of </w:t>
      </w:r>
      <w:r>
        <w:rPr>
          <w:rStyle w:val="Strong"/>
        </w:rPr>
        <w:t>20 years</w:t>
      </w:r>
      <w:r>
        <w:rPr/>
        <w:t>.</w:t>
      </w:r>
    </w:p>
    <w:p>
      <w:pPr>
        <w:pStyle w:val="TextBody"/>
        <w:rPr>
          <w:u w:val="single"/>
        </w:rPr>
      </w:pPr>
      <w:r>
        <w:rPr/>
        <w:t xml:space="preserve">The Agreement also defines the use of the public ledger reported and tracked </w:t>
      </w:r>
      <w:r>
        <w:rPr>
          <w:b/>
          <w:bCs/>
        </w:rPr>
        <w:t xml:space="preserve">ShwayComs Euro </w:t>
      </w:r>
      <w:r>
        <w:rPr>
          <w:rStyle w:val="Strong"/>
        </w:rPr>
        <w:t>(SHWAY)</w:t>
      </w:r>
      <w:r>
        <w:rPr/>
        <w:t xml:space="preserve"> ERC-20 security token or equivalent as the reciprocal instrument for all transactions executed through the Licensor’s private sale request process.</w:t>
      </w:r>
    </w:p>
    <w:p>
      <w:pPr>
        <w:pStyle w:val="Heading2"/>
        <w:rPr>
          <w:u w:val="single"/>
        </w:rPr>
      </w:pPr>
      <w:r>
        <w:rPr>
          <w:rStyle w:val="Strong"/>
          <w:b/>
        </w:rPr>
        <w:t>2. Definitions</w:t>
      </w:r>
    </w:p>
    <w:p>
      <w:pPr>
        <w:pStyle w:val="TextBody"/>
        <w:rPr>
          <w:u w:val="single"/>
        </w:rPr>
      </w:pPr>
      <w:r>
        <w:rPr>
          <w:rStyle w:val="Strong"/>
        </w:rPr>
        <w:t>2.1 Licensed Technology</w:t>
      </w:r>
      <w:r>
        <w:rPr/>
        <w:t xml:space="preserve"> All intellectual property, patents, know how, and proprietary methods developed by Licensor under the iMAP designation.</w:t>
      </w:r>
    </w:p>
    <w:p>
      <w:pPr>
        <w:pStyle w:val="TextBody"/>
        <w:rPr>
          <w:u w:val="single"/>
        </w:rPr>
      </w:pPr>
      <w:r>
        <w:rPr>
          <w:rStyle w:val="Strong"/>
        </w:rPr>
        <w:t>2.2 Category</w:t>
      </w:r>
      <w:r>
        <w:rPr/>
        <w:t xml:space="preserve"> The license applies specifically to the </w:t>
      </w:r>
      <w:r>
        <w:rPr>
          <w:rStyle w:val="Strong"/>
        </w:rPr>
        <w:t>iMAP</w:t>
      </w:r>
      <w:r>
        <w:rPr/>
        <w:t xml:space="preserve"> category AeroSpace, Energy or Accessories.</w:t>
      </w:r>
    </w:p>
    <w:p>
      <w:pPr>
        <w:pStyle w:val="TextBody"/>
        <w:rPr>
          <w:u w:val="single"/>
        </w:rPr>
      </w:pPr>
      <w:r>
        <w:rPr>
          <w:rStyle w:val="Strong"/>
        </w:rPr>
        <w:t>2.3 Territory (Region)</w:t>
      </w:r>
      <w:r>
        <w:rPr/>
        <w:t xml:space="preserve"> Licensee shall select </w:t>
      </w:r>
      <w:r>
        <w:rPr>
          <w:rStyle w:val="Strong"/>
        </w:rPr>
        <w:t>one</w:t>
      </w:r>
      <w:r>
        <w:rPr/>
        <w:t xml:space="preserve"> region: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__ Americas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__ Asia Pacific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__ China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__ EMEA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__ South Asia</w:t>
      </w:r>
    </w:p>
    <w:p>
      <w:pPr>
        <w:pStyle w:val="TextBody"/>
        <w:rPr>
          <w:u w:val="single"/>
        </w:rPr>
      </w:pPr>
      <w:r>
        <w:rPr/>
        <w:t>Applies only within the selected region.</w:t>
      </w:r>
    </w:p>
    <w:p>
      <w:pPr>
        <w:pStyle w:val="TextBody"/>
        <w:rPr>
          <w:u w:val="single"/>
        </w:rPr>
      </w:pPr>
      <w:r>
        <w:rPr>
          <w:rStyle w:val="Strong"/>
        </w:rPr>
        <w:t>2.4 SHWAY Token</w:t>
      </w:r>
      <w:r>
        <w:rPr/>
        <w:t xml:space="preserve"> NFT secured ERC - 20 token “ShwayComs Euro (SHWAY) or equivalent” used for reciprocal settlement of all transactions. </w:t>
      </w:r>
      <w:r>
        <w:rPr>
          <w:rStyle w:val="Strong"/>
        </w:rPr>
        <w:t>1 SHWAY = €1.00</w:t>
      </w:r>
      <w:r>
        <w:rPr/>
        <w:t xml:space="preserve"> (fixed valuation for Agreement purposes).</w:t>
      </w:r>
    </w:p>
    <w:p>
      <w:pPr>
        <w:pStyle w:val="TextBody"/>
        <w:rPr>
          <w:u w:val="single"/>
        </w:rPr>
      </w:pPr>
      <w:r>
        <w:rPr>
          <w:rStyle w:val="Strong"/>
        </w:rPr>
        <w:t>2.5 Gross Product Sales</w:t>
      </w:r>
      <w:r>
        <w:rPr/>
        <w:t xml:space="preserve"> Total invoiced sales value of all licensed products, including peripherals such as power supplies, excluding taxes, shipping, and returns.</w:t>
      </w:r>
    </w:p>
    <w:p>
      <w:pPr>
        <w:pStyle w:val="TextBody"/>
        <w:rPr>
          <w:u w:val="single"/>
        </w:rPr>
      </w:pPr>
      <w:r>
        <w:rPr>
          <w:rStyle w:val="Strong"/>
        </w:rPr>
        <w:tab/>
        <w:tab/>
        <w:tab/>
        <w:tab/>
        <w:tab/>
        <w:tab/>
        <w:tab/>
        <w:tab/>
        <w:tab/>
        <w:tab/>
        <w:tab/>
      </w:r>
      <w:r>
        <w:rPr>
          <w:rStyle w:val="Strong"/>
          <w:b w:val="false"/>
          <w:bCs w:val="false"/>
        </w:rPr>
        <w:t>(page 1/3)</w:t>
      </w:r>
      <w:r>
        <w:br w:type="page"/>
      </w:r>
    </w:p>
    <w:p>
      <w:pPr>
        <w:pStyle w:val="Heading2"/>
        <w:rPr>
          <w:u w:val="single"/>
        </w:rPr>
      </w:pPr>
      <w:r>
        <w:rPr>
          <w:rStyle w:val="Strong"/>
          <w:b/>
        </w:rPr>
        <w:t>3. Grant of License</w:t>
      </w:r>
    </w:p>
    <w:p>
      <w:pPr>
        <w:pStyle w:val="TextBody"/>
        <w:rPr>
          <w:u w:val="single"/>
        </w:rPr>
      </w:pPr>
      <w:r>
        <w:rPr>
          <w:rStyle w:val="Strong"/>
        </w:rPr>
        <w:t>3.1 License</w:t>
      </w:r>
      <w:r>
        <w:rPr/>
        <w:t xml:space="preserve"> Licensor grants Licensee a non-transferable license within the selected Territory to: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use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manufacture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have manufactured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sell</w:t>
      </w:r>
      <w:r>
        <w:rPr>
          <w:u w:val="none"/>
        </w:rPr>
        <w:t xml:space="preserve"> unrestricted worldwide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distribute products based on the Licensed Technology.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develop proprietary technologies in IP thread referencing original.</w:t>
      </w:r>
    </w:p>
    <w:p>
      <w:pPr>
        <w:pStyle w:val="TextBody"/>
        <w:rPr>
          <w:u w:val="single"/>
        </w:rPr>
      </w:pPr>
      <w:r>
        <w:rPr>
          <w:rStyle w:val="Strong"/>
        </w:rPr>
        <w:t>3.2 Restrictions</w:t>
      </w:r>
      <w:r>
        <w:rPr/>
        <w:t xml:space="preserve"> No sublicensing without written approval from Licensor. Licensor retains all rights outside the selected Territory.</w:t>
      </w:r>
    </w:p>
    <w:p>
      <w:pPr>
        <w:pStyle w:val="Heading2"/>
        <w:rPr>
          <w:u w:val="single"/>
        </w:rPr>
      </w:pPr>
      <w:r>
        <w:rPr>
          <w:rStyle w:val="Strong"/>
          <w:b/>
        </w:rPr>
        <w:t>4. Consideration and Payments</w:t>
      </w:r>
    </w:p>
    <w:p>
      <w:pPr>
        <w:pStyle w:val="TextBody"/>
        <w:rPr>
          <w:u w:val="single"/>
        </w:rPr>
      </w:pPr>
      <w:r>
        <w:rPr>
          <w:rStyle w:val="Strong"/>
        </w:rPr>
        <w:t>4.1 Signing Fee ( € 100.000.000 )</w:t>
      </w:r>
      <w:r>
        <w:rPr/>
        <w:t xml:space="preserve"> Licensee shall complete the mandatory signing fee via the Licensor’s private sale request process. The transaction is reciprocated in </w:t>
      </w:r>
      <w:r>
        <w:rPr>
          <w:rStyle w:val="Strong"/>
        </w:rPr>
        <w:t>SHWAY</w:t>
      </w:r>
      <w:r>
        <w:rPr/>
        <w:t xml:space="preserve"> tokens and recorded in public available ledgers on</w:t>
        <w:noBreakHyphen/>
        <w:t>chain.</w:t>
      </w:r>
    </w:p>
    <w:p>
      <w:pPr>
        <w:pStyle w:val="TextBody"/>
        <w:rPr>
          <w:u w:val="single"/>
        </w:rPr>
      </w:pPr>
      <w:r>
        <w:rPr>
          <w:rStyle w:val="Strong"/>
        </w:rPr>
        <w:t>4.2 Royalty Terms</w:t>
      </w:r>
      <w:r>
        <w:rPr/>
        <w:t xml:space="preserve"> Licensee shall pay Licensor </w:t>
      </w:r>
      <w:r>
        <w:rPr>
          <w:rStyle w:val="Strong"/>
        </w:rPr>
        <w:t>0.07 (7%)</w:t>
      </w:r>
      <w:r>
        <w:rPr/>
        <w:t xml:space="preserve"> of Gross Product Sales </w:t>
      </w:r>
      <w:r>
        <w:rPr/>
        <w:t>Value</w:t>
      </w:r>
      <w:r>
        <w:rPr/>
        <w:t xml:space="preserve">, including all peripherals such as power supplies, for each product </w:t>
      </w:r>
      <w:r>
        <w:rPr/>
        <w:t>produced / sold</w:t>
      </w:r>
      <w:r>
        <w:rPr/>
        <w:t xml:space="preserve"> complete.</w:t>
      </w:r>
    </w:p>
    <w:p>
      <w:pPr>
        <w:pStyle w:val="TextBody"/>
        <w:rPr>
          <w:u w:val="single"/>
        </w:rPr>
      </w:pPr>
      <w:r>
        <w:rPr/>
        <w:t>Royalty payments are reciprocated in: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0" w:leader="none"/>
        </w:tabs>
        <w:rPr>
          <w:u w:val="single"/>
        </w:rPr>
      </w:pPr>
      <w:r>
        <w:rPr>
          <w:rStyle w:val="Strong"/>
        </w:rPr>
        <w:t>SHWAY tokens ShwayComs Euro</w:t>
      </w:r>
      <w:r>
        <w:rPr/>
        <w:t>, 0xeCcc2Cd8c32eE3932983De76276905B2D2B12c1a, or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equivalent EUR denominated NFT issued by Licensor.</w:t>
      </w:r>
    </w:p>
    <w:p>
      <w:pPr>
        <w:pStyle w:val="TextBody"/>
        <w:rPr>
          <w:u w:val="single"/>
        </w:rPr>
      </w:pPr>
      <w:r>
        <w:rPr/>
        <w:t>Payments are due quarterly within 30 days of quarter end.</w:t>
      </w:r>
    </w:p>
    <w:p>
      <w:pPr>
        <w:pStyle w:val="TextBody"/>
        <w:rPr>
          <w:u w:val="single"/>
        </w:rPr>
      </w:pPr>
      <w:r>
        <w:rPr>
          <w:rStyle w:val="Strong"/>
        </w:rPr>
        <w:t>4.3 Reporting</w:t>
      </w:r>
      <w:r>
        <w:rPr/>
        <w:t xml:space="preserve"> Licensee shall provide quarterly sales reports. Licensor may audit records with reasonable notice.</w:t>
      </w:r>
    </w:p>
    <w:p>
      <w:pPr>
        <w:pStyle w:val="Heading2"/>
        <w:rPr>
          <w:u w:val="single"/>
        </w:rPr>
      </w:pPr>
      <w:r>
        <w:rPr>
          <w:rStyle w:val="Strong"/>
          <w:b/>
        </w:rPr>
        <w:t>5. IP Transfer &amp; Token Mechanism</w:t>
      </w:r>
    </w:p>
    <w:p>
      <w:pPr>
        <w:pStyle w:val="TextBody"/>
        <w:rPr>
          <w:u w:val="single"/>
        </w:rPr>
      </w:pPr>
      <w:r>
        <w:rPr/>
        <w:t xml:space="preserve">All transactions under this Agreement are executed through the Licensor’s </w:t>
      </w:r>
      <w:r>
        <w:rPr>
          <w:rStyle w:val="Strong"/>
        </w:rPr>
        <w:t>private sale request</w:t>
      </w:r>
      <w:r>
        <w:rPr/>
        <w:t xml:space="preserve"> system. SHWAY tokens reciprocate each transaction and serve as the settlement reciept instrument for: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signing fee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royalties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any additional agreed payments</w:t>
      </w:r>
    </w:p>
    <w:p>
      <w:pPr>
        <w:pStyle w:val="TextBody"/>
        <w:rPr>
          <w:u w:val="single"/>
        </w:rPr>
      </w:pPr>
      <w:r>
        <w:rPr/>
        <w:t>Blockchain records serve as public proof of receipt.</w:t>
      </w:r>
    </w:p>
    <w:p>
      <w:pPr>
        <w:pStyle w:val="TextBody"/>
        <w:rPr>
          <w:u w:val="single"/>
        </w:rPr>
      </w:pPr>
      <w:r>
        <w:rPr>
          <w:rStyle w:val="Strong"/>
          <w:b w:val="false"/>
          <w:bCs w:val="false"/>
        </w:rPr>
        <w:tab/>
        <w:tab/>
        <w:tab/>
        <w:tab/>
        <w:tab/>
        <w:tab/>
        <w:tab/>
        <w:tab/>
        <w:tab/>
        <w:tab/>
        <w:tab/>
        <w:tab/>
        <w:t>(page 2/3)</w:t>
      </w:r>
      <w:r>
        <w:br w:type="page"/>
      </w:r>
    </w:p>
    <w:p>
      <w:pPr>
        <w:pStyle w:val="Heading2"/>
        <w:rPr>
          <w:u w:val="single"/>
        </w:rPr>
      </w:pPr>
      <w:r>
        <w:rPr>
          <w:rStyle w:val="Strong"/>
          <w:b/>
        </w:rPr>
        <w:t>6. Term and Termination</w:t>
      </w:r>
    </w:p>
    <w:p>
      <w:pPr>
        <w:pStyle w:val="TextBody"/>
        <w:rPr>
          <w:u w:val="single"/>
        </w:rPr>
      </w:pPr>
      <w:r>
        <w:rPr>
          <w:rStyle w:val="Strong"/>
        </w:rPr>
        <w:t>6.1 Term</w:t>
      </w:r>
      <w:r>
        <w:rPr/>
        <w:t xml:space="preserve"> 20 years from the Effective Date, renewable where mutually agreed.</w:t>
      </w:r>
    </w:p>
    <w:p>
      <w:pPr>
        <w:pStyle w:val="TextBody"/>
        <w:rPr>
          <w:u w:val="single"/>
        </w:rPr>
      </w:pPr>
      <w:r>
        <w:rPr>
          <w:rStyle w:val="Strong"/>
        </w:rPr>
        <w:t>6.2 Termination</w:t>
      </w:r>
      <w:r>
        <w:rPr/>
        <w:t xml:space="preserve"> May occur for: </w:t>
        <w:tab/>
        <w:tab/>
        <w:tab/>
        <w:tab/>
        <w:tab/>
        <w:tab/>
        <w:tab/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material breach (30-day cure period)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insolvency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failure to meet mutually agreed performance thresholds</w:t>
      </w:r>
    </w:p>
    <w:p>
      <w:pPr>
        <w:pStyle w:val="Heading2"/>
        <w:rPr>
          <w:u w:val="single"/>
        </w:rPr>
      </w:pPr>
      <w:r>
        <w:rPr>
          <w:rStyle w:val="Strong"/>
          <w:b/>
        </w:rPr>
        <w:t>7. Mediation and Governing Law</w:t>
      </w:r>
    </w:p>
    <w:p>
      <w:pPr>
        <w:pStyle w:val="TextBody"/>
        <w:rPr>
          <w:u w:val="single"/>
        </w:rPr>
      </w:pPr>
      <w:r>
        <w:rPr>
          <w:rStyle w:val="Strong"/>
        </w:rPr>
        <w:t>7.1 Co-ordinator / Mediator</w:t>
      </w:r>
      <w:r>
        <w:rPr/>
        <w:t xml:space="preserve"> PwC Skånegatan 1 411 40 Göteborg Telefon: +46 10 213 10 00</w:t>
      </w:r>
    </w:p>
    <w:p>
      <w:pPr>
        <w:pStyle w:val="TextBody"/>
        <w:rPr>
          <w:u w:val="single"/>
        </w:rPr>
      </w:pPr>
      <w:r>
        <w:rPr>
          <w:rStyle w:val="Strong"/>
        </w:rPr>
        <w:t>7.2 Governing Law</w:t>
      </w:r>
      <w:r>
        <w:rPr/>
        <w:t xml:space="preserve"> Swedish law applies. Jurisdiction: Courts of Gothenburg, Sweden.</w:t>
      </w:r>
    </w:p>
    <w:p>
      <w:pPr>
        <w:pStyle w:val="Heading2"/>
        <w:rPr>
          <w:u w:val="single"/>
        </w:rPr>
      </w:pPr>
      <w:r>
        <w:rPr>
          <w:rStyle w:val="Strong"/>
          <w:b/>
        </w:rPr>
        <w:t>8. Miscellaneous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Entire Agreement; amendments must be in writing.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0" w:leader="none"/>
        </w:tabs>
        <w:rPr>
          <w:u w:val="single"/>
        </w:rPr>
      </w:pPr>
      <w:r>
        <w:rPr/>
        <w:t>Force majeure protections apply.</w:t>
      </w:r>
    </w:p>
    <w:p>
      <w:pPr>
        <w:pStyle w:val="Heading2"/>
        <w:rPr>
          <w:u w:val="single"/>
        </w:rPr>
      </w:pPr>
      <w:r>
        <w:rPr>
          <w:rStyle w:val="Strong"/>
          <w:b/>
        </w:rPr>
        <w:t>Signatures</w:t>
      </w:r>
    </w:p>
    <w:p>
      <w:pPr>
        <w:pStyle w:val="TextBody"/>
        <w:rPr>
          <w:u w:val="single"/>
        </w:rPr>
      </w:pPr>
      <w:r>
        <w:rPr>
          <w:u w:val="single"/>
        </w:rPr>
      </w:r>
    </w:p>
    <w:p>
      <w:pPr>
        <w:pStyle w:val="TextBody"/>
        <w:rPr>
          <w:u w:val="single"/>
        </w:rPr>
      </w:pPr>
      <w:r>
        <w:rPr>
          <w:rStyle w:val="Strong"/>
        </w:rPr>
        <w:t>Licensor</w:t>
      </w:r>
      <w:r>
        <w:rPr/>
        <w:t xml:space="preserve"> Stefan Tubman / PRV Inventor / ShwayComs Signature: _______________________ </w:t>
      </w:r>
    </w:p>
    <w:p>
      <w:pPr>
        <w:pStyle w:val="TextBody"/>
        <w:rPr>
          <w:u w:val="single"/>
        </w:rPr>
      </w:pPr>
      <w:r>
        <w:rPr>
          <w:u w:val="single"/>
        </w:rPr>
      </w:r>
    </w:p>
    <w:p>
      <w:pPr>
        <w:pStyle w:val="TextBody"/>
        <w:rPr>
          <w:u w:val="single"/>
        </w:rPr>
      </w:pPr>
      <w:r>
        <w:rPr>
          <w:u w:val="single"/>
        </w:rPr>
      </w:r>
    </w:p>
    <w:p>
      <w:pPr>
        <w:pStyle w:val="TextBody"/>
        <w:rPr>
          <w:u w:val="single"/>
        </w:rPr>
      </w:pPr>
      <w:r>
        <w:rPr/>
        <w:t>Date: ____________________________</w:t>
      </w:r>
    </w:p>
    <w:p>
      <w:pPr>
        <w:pStyle w:val="TextBody"/>
        <w:rPr>
          <w:u w:val="single"/>
        </w:rPr>
      </w:pPr>
      <w:r>
        <w:rPr>
          <w:u w:val="single"/>
        </w:rPr>
      </w:r>
    </w:p>
    <w:p>
      <w:pPr>
        <w:pStyle w:val="TextBody"/>
        <w:rPr>
          <w:u w:val="single"/>
        </w:rPr>
      </w:pPr>
      <w:r>
        <w:rPr>
          <w:u w:val="single"/>
        </w:rPr>
      </w:r>
    </w:p>
    <w:p>
      <w:pPr>
        <w:pStyle w:val="TextBody"/>
        <w:rPr>
          <w:u w:val="single"/>
        </w:rPr>
      </w:pPr>
      <w:r>
        <w:rPr>
          <w:rStyle w:val="Strong"/>
        </w:rPr>
        <w:t>Licensee</w:t>
      </w:r>
      <w:r>
        <w:rPr/>
        <w:t xml:space="preserve"> [Name / Title / Company] Signature: _______________________ </w:t>
      </w:r>
    </w:p>
    <w:p>
      <w:pPr>
        <w:pStyle w:val="TextBody"/>
        <w:rPr>
          <w:u w:val="single"/>
        </w:rPr>
      </w:pPr>
      <w:r>
        <w:rPr>
          <w:u w:val="single"/>
        </w:rPr>
      </w:r>
    </w:p>
    <w:p>
      <w:pPr>
        <w:pStyle w:val="TextBody"/>
        <w:rPr>
          <w:u w:val="single"/>
        </w:rPr>
      </w:pPr>
      <w:r>
        <w:rPr>
          <w:u w:val="single"/>
        </w:rPr>
      </w:r>
    </w:p>
    <w:p>
      <w:pPr>
        <w:pStyle w:val="TextBody"/>
        <w:rPr>
          <w:u w:val="single"/>
        </w:rPr>
      </w:pPr>
      <w:r>
        <w:rPr/>
        <w:t>Date: ____________________________</w:t>
      </w:r>
    </w:p>
    <w:p>
      <w:pPr>
        <w:pStyle w:val="TextBody"/>
        <w:spacing w:before="140" w:after="120"/>
        <w:rPr>
          <w:u w:val="single"/>
        </w:rPr>
      </w:pPr>
      <w:r>
        <w:rPr>
          <w:u w:val="single"/>
        </w:rPr>
      </w:r>
    </w:p>
    <w:p>
      <w:pPr>
        <w:pStyle w:val="TextBody"/>
        <w:spacing w:before="140" w:after="120"/>
        <w:rPr>
          <w:u w:val="single"/>
        </w:rPr>
      </w:pPr>
      <w:r>
        <w:rPr>
          <w:u w:val="single"/>
        </w:rPr>
      </w:r>
    </w:p>
    <w:p>
      <w:pPr>
        <w:pStyle w:val="TextBody"/>
        <w:spacing w:before="140" w:after="120"/>
        <w:rPr>
          <w:u w:val="single"/>
        </w:rPr>
      </w:pPr>
      <w:r>
        <w:rPr>
          <w:u w:val="single"/>
        </w:rPr>
      </w:r>
    </w:p>
    <w:p>
      <w:pPr>
        <w:pStyle w:val="TextBody"/>
        <w:spacing w:before="140" w:after="120"/>
        <w:rPr>
          <w:u w:val="single"/>
        </w:rPr>
      </w:pPr>
      <w:r>
        <w:rPr>
          <w:u w:val="single"/>
        </w:rPr>
      </w:r>
    </w:p>
    <w:p>
      <w:pPr>
        <w:pStyle w:val="TextBody"/>
        <w:spacing w:before="140" w:after="120"/>
        <w:rPr>
          <w:u w:val="single"/>
        </w:rPr>
      </w:pPr>
      <w:r>
        <w:rPr/>
        <w:tab/>
        <w:tab/>
        <w:tab/>
        <w:tab/>
        <w:tab/>
        <w:tab/>
        <w:tab/>
        <w:tab/>
        <w:tab/>
        <w:tab/>
        <w:tab/>
        <w:t>(page 3/3)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00de"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rsid w:val="003100de"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rsid w:val="003100de"/>
    <w:p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rsid w:val="003100de"/>
    <w:pPr>
      <w:tabs>
        <w:tab w:val="clear" w:pos="709"/>
        <w:tab w:val="left" w:pos="0" w:leader="none"/>
      </w:tabs>
      <w:spacing w:before="140" w:after="120"/>
      <w:outlineLvl w:val="2"/>
    </w:pPr>
    <w:rPr>
      <w:rFonts w:ascii="Liberation Serif;Times New Roma" w:hAnsi="Liberation Serif;Times New Roma" w:eastAsia="NSimSu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3100de"/>
    <w:rPr>
      <w:rFonts w:ascii="Symbol" w:hAnsi="Symbol" w:cs="OpenSymbol;Arial Unicode MS"/>
    </w:rPr>
  </w:style>
  <w:style w:type="character" w:styleId="Strong">
    <w:name w:val="Strong"/>
    <w:qFormat/>
    <w:rsid w:val="003100de"/>
    <w:rPr>
      <w:b/>
      <w:bCs/>
    </w:rPr>
  </w:style>
  <w:style w:type="character" w:styleId="Bullets" w:customStyle="1">
    <w:name w:val="Bullets"/>
    <w:qFormat/>
    <w:rsid w:val="003100de"/>
    <w:rPr>
      <w:rFonts w:ascii="OpenSymbol;Arial Unicode MS" w:hAnsi="OpenSymbol;Arial Unicode MS" w:eastAsia="OpenSymbol;Arial Unicode MS" w:cs="OpenSymbol;Arial Unicode MS"/>
    </w:rPr>
  </w:style>
  <w:style w:type="character" w:styleId="InternetLink">
    <w:name w:val="Hyperlink"/>
    <w:rsid w:val="003100de"/>
    <w:rPr>
      <w:color w:val="000080"/>
      <w:u w:val="single"/>
    </w:rPr>
  </w:style>
  <w:style w:type="character" w:styleId="EndnoteCharacters">
    <w:name w:val="Endnote Characters"/>
    <w:qFormat/>
    <w:rsid w:val="003100de"/>
    <w:rPr>
      <w:vertAlign w:val="superscript"/>
    </w:rPr>
  </w:style>
  <w:style w:type="character" w:styleId="EndnoteAnchor">
    <w:name w:val="Endnote Reference"/>
    <w:rPr>
      <w:vertAlign w:val="superscript"/>
    </w:rPr>
  </w:style>
  <w:style w:type="paragraph" w:styleId="Heading" w:customStyle="1">
    <w:name w:val="Heading"/>
    <w:basedOn w:val="Normal"/>
    <w:next w:val="TextBody"/>
    <w:qFormat/>
    <w:rsid w:val="003100de"/>
    <w:pPr>
      <w:keepNext w:val="true"/>
      <w:spacing w:before="240" w:after="120"/>
    </w:pPr>
    <w:rPr>
      <w:rFonts w:ascii="Liberation Sans;Arial" w:hAnsi="Liberation Sans;Arial" w:eastAsia="Microsoft YaHei"/>
      <w:sz w:val="28"/>
      <w:szCs w:val="28"/>
    </w:rPr>
  </w:style>
  <w:style w:type="paragraph" w:styleId="TextBody">
    <w:name w:val="Body Text"/>
    <w:basedOn w:val="Normal"/>
    <w:rsid w:val="003100de"/>
    <w:pPr>
      <w:spacing w:lineRule="auto" w:line="276" w:before="0" w:after="140"/>
    </w:pPr>
    <w:rPr/>
  </w:style>
  <w:style w:type="paragraph" w:styleId="List">
    <w:name w:val="List"/>
    <w:basedOn w:val="TextBody"/>
    <w:rsid w:val="003100de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3100de"/>
    <w:pPr>
      <w:suppressLineNumbers/>
    </w:pPr>
    <w:rPr/>
  </w:style>
  <w:style w:type="paragraph" w:styleId="Caption1">
    <w:name w:val="caption"/>
    <w:basedOn w:val="Normal"/>
    <w:qFormat/>
    <w:rsid w:val="003100de"/>
    <w:pPr>
      <w:suppressLineNumbers/>
      <w:spacing w:before="120" w:after="120"/>
    </w:pPr>
    <w:rPr>
      <w:i/>
      <w:iCs/>
    </w:rPr>
  </w:style>
  <w:style w:type="paragraph" w:styleId="Endnote">
    <w:name w:val="Endnote Text"/>
    <w:basedOn w:val="Normal"/>
    <w:rsid w:val="003100de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3100de"/>
  </w:style>
  <w:style w:type="numbering" w:styleId="WW8Num2" w:customStyle="1">
    <w:name w:val="WW8Num2"/>
    <w:qFormat/>
    <w:rsid w:val="003100de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sFree_Office_for_Docs_and_PDF/7.4.2.3$Windows_X86_64 LibreOffice_project/382eef1f22670f7f4118c8c2dd222ec7ad009daf</Application>
  <AppVersion>15.0000</AppVersion>
  <Pages>3</Pages>
  <Words>570</Words>
  <Characters>3412</Characters>
  <CharactersWithSpaces>3942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2025-12-29T19:26:00Z</dcterms:created>
  <dc:creator/>
  <dc:description/>
  <dc:language>en-US</dc:language>
  <cp:lastModifiedBy/>
  <dcterms:modified xsi:type="dcterms:W3CDTF">2026-04-26T13:03:13Z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